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bookmarkEnd w:id="0"/>
    <w:p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przy ul. Piłsudskiego 20, 69-100 Słubice, tel.: 957592022, e-mail: </w:t>
      </w:r>
      <w:hyperlink r:id="rId5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Inspektorem ochrony danych jest Józef </w:t>
      </w:r>
      <w:proofErr w:type="spellStart"/>
      <w:r w:rsidRPr="00C521C2">
        <w:rPr>
          <w:rFonts w:ascii="Arial" w:hAnsi="Arial" w:cs="Arial"/>
          <w:kern w:val="22"/>
          <w:sz w:val="20"/>
          <w:szCs w:val="20"/>
        </w:rPr>
        <w:t>Kłobuch</w:t>
      </w:r>
      <w:proofErr w:type="spellEnd"/>
      <w:r w:rsidRPr="00C521C2">
        <w:rPr>
          <w:rFonts w:ascii="Arial" w:hAnsi="Arial" w:cs="Arial"/>
          <w:kern w:val="22"/>
          <w:sz w:val="20"/>
          <w:szCs w:val="20"/>
        </w:rPr>
        <w:t>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Pr="00C521C2">
        <w:rPr>
          <w:rFonts w:ascii="Arial" w:hAnsi="Arial" w:cs="Arial"/>
          <w:kern w:val="22"/>
          <w:sz w:val="20"/>
          <w:szCs w:val="20"/>
        </w:rPr>
        <w:t>759</w:t>
      </w:r>
      <w:r w:rsidR="00E9253E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 xml:space="preserve">2022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– Dz. U. z 2018 r. poz. 2204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zm.)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(Dz.U. z 2014 r. poz. 1490).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1490) do publicznej wiadomości zostaną podane Pana/Pani imię i nazwisko.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 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 sprawie organizacji i zakresu działania archiwów zakładowych (Dz. U. Nr 14, poz. 67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 xml:space="preserve">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t.j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- Dz. U. z 2019 r.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 xml:space="preserve">poz. 553 z </w:t>
      </w:r>
      <w:proofErr w:type="spellStart"/>
      <w:r w:rsidRPr="009375DD">
        <w:rPr>
          <w:rFonts w:ascii="Arial" w:hAnsi="Arial" w:cs="Arial"/>
          <w:kern w:val="22"/>
          <w:sz w:val="20"/>
          <w:szCs w:val="20"/>
        </w:rPr>
        <w:t>późn</w:t>
      </w:r>
      <w:proofErr w:type="spellEnd"/>
      <w:r w:rsidRPr="009375DD">
        <w:rPr>
          <w:rFonts w:ascii="Arial" w:hAnsi="Arial" w:cs="Arial"/>
          <w:kern w:val="22"/>
          <w:sz w:val="20"/>
          <w:szCs w:val="20"/>
        </w:rPr>
        <w:t>. zm.).</w:t>
      </w:r>
    </w:p>
    <w:p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4033B1"/>
    <w:rsid w:val="00404F40"/>
    <w:rsid w:val="0043092C"/>
    <w:rsid w:val="00434017"/>
    <w:rsid w:val="00445857"/>
    <w:rsid w:val="00452B52"/>
    <w:rsid w:val="00481124"/>
    <w:rsid w:val="004A10DD"/>
    <w:rsid w:val="004D7A8A"/>
    <w:rsid w:val="00640203"/>
    <w:rsid w:val="00641830"/>
    <w:rsid w:val="006437C3"/>
    <w:rsid w:val="00643F34"/>
    <w:rsid w:val="006648CD"/>
    <w:rsid w:val="006B4508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749B0"/>
    <w:rsid w:val="00990765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5287"/>
    <w:rsid w:val="00D52844"/>
    <w:rsid w:val="00D860B3"/>
    <w:rsid w:val="00D96FE4"/>
    <w:rsid w:val="00DC32E8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D20E"/>
  <w15:docId w15:val="{5E28B550-72C5-4F07-A552-A252273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slubicki.pl" TargetMode="External"/><Relationship Id="rId5" Type="http://schemas.openxmlformats.org/officeDocument/2006/relationships/hyperlink" Target="mailto:sekretariat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Kalina Hryniewicz</cp:lastModifiedBy>
  <cp:revision>2</cp:revision>
  <cp:lastPrinted>2019-06-05T09:25:00Z</cp:lastPrinted>
  <dcterms:created xsi:type="dcterms:W3CDTF">2019-06-17T11:48:00Z</dcterms:created>
  <dcterms:modified xsi:type="dcterms:W3CDTF">2019-06-17T11:48:00Z</dcterms:modified>
</cp:coreProperties>
</file>